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Тверь (искл.)»,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</w:t>
        <w:br/>
        <w:t xml:space="preserve">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«Создание высокоскоростной железнодорожной магистрали Санкт-Петербург – Москва (участок Крюково (Алабушево) – Обухово)». 5 этап – Строительство участка Логовежь (вкл.) – Новая </w:t>
        <w:br/>
        <w:t xml:space="preserve">Тверь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24.01.2025 </w:t>
        <w:br/>
        <w:t xml:space="preserve">№ АБ-35-р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</w:t>
        <w:br/>
        <w:t xml:space="preserve">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земельного участка: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1091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69:10:0000024:1313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д.Опарино.Участок находится примерно в 400 м, </w:t>
              <w:br/>
              <w:t xml:space="preserve">по направлению на юго-запад от ориентира. Почтовый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адрес ориентира: Тверская область, р-н. Калининский, </w:t>
              <w:br/>
              <w:t xml:space="preserve">с/п. Никулинское, д. Опарино.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51573 +/- 1987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11609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124"/>
        </w:trPr>
        <w:tc>
          <w:tcPr>
            <w:shd w:val="clear" w:color="000000" w:fill="ffffff"/>
            <w:tcW w:w="435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vMerge w:val="continue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24.01.2025 № АБ-35-р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5 этап – Строительство участка Логовежь (вкл.) – Новая Тверь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"Территориальный отдел "Северо-западный" Калининского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Тверской области,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170508, Тверская Область, м.о. Калининский, п Заволжский, д. 2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, тел.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(4822) 37-94-79; электронная почта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(</w:t>
            </w:r>
            <w:hyperlink r:id="rId11" w:tooltip="mailto:zavoljskoe69@yandex.ru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single"/>
                </w:rPr>
                <w:t xml:space="preserve">zavoljskoe69@yandex.ru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Никулинского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сельского поселения Калининского района Тверской области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письмом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29.01.2025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№ УЗИП-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3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  <w:t xml:space="preserve">-368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highlight w:val="yellow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/>
          </w:p>
        </w:tc>
      </w:tr>
    </w:tbl>
    <w:p>
      <w:pPr>
        <w:rPr>
          <w:sz w:val="4"/>
          <w:szCs w:val="4"/>
          <w:highlight w:val="yellow"/>
        </w:rPr>
      </w:pPr>
      <w:r>
        <w:rPr>
          <w:sz w:val="4"/>
          <w:szCs w:val="4"/>
          <w:highlight w:val="yellow"/>
        </w:rPr>
      </w:r>
      <w:r>
        <w:rPr>
          <w:sz w:val="4"/>
          <w:szCs w:val="4"/>
          <w:highlight w:val="yellow"/>
        </w:rPr>
      </w:r>
      <w:r>
        <w:rPr>
          <w:sz w:val="4"/>
          <w:szCs w:val="4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mailto:zavoljskoe69@yandex.ru" TargetMode="External"/><Relationship Id="rId12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27</cp:revision>
  <dcterms:created xsi:type="dcterms:W3CDTF">2024-07-09T09:03:00Z</dcterms:created>
  <dcterms:modified xsi:type="dcterms:W3CDTF">2025-05-07T11:04:26Z</dcterms:modified>
</cp:coreProperties>
</file>